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5E7A7" w14:textId="77777777" w:rsidR="00E21F24" w:rsidRPr="00377754" w:rsidRDefault="00E21F24" w:rsidP="00E21F24">
      <w:pPr>
        <w:tabs>
          <w:tab w:val="center" w:pos="4512"/>
        </w:tabs>
        <w:suppressAutoHyphens/>
        <w:spacing w:after="120"/>
        <w:jc w:val="center"/>
        <w:outlineLvl w:val="0"/>
        <w:rPr>
          <w:rFonts w:ascii="Arial" w:hAnsi="Arial" w:cs="Arial"/>
          <w:spacing w:val="-3"/>
          <w:sz w:val="22"/>
          <w:szCs w:val="22"/>
          <w:lang w:val="en-US"/>
        </w:rPr>
      </w:pPr>
      <w:bookmarkStart w:id="0" w:name="_GoBack"/>
      <w:bookmarkEnd w:id="0"/>
      <w:r w:rsidRPr="00377754">
        <w:rPr>
          <w:rFonts w:ascii="Arial" w:hAnsi="Arial" w:cs="Arial"/>
          <w:b/>
          <w:spacing w:val="-3"/>
          <w:sz w:val="22"/>
          <w:szCs w:val="22"/>
          <w:lang w:val="en-US"/>
        </w:rPr>
        <w:t>GENERAL CHURCH TRUST STATUTE 1928 (EXTRACT)</w:t>
      </w:r>
    </w:p>
    <w:p w14:paraId="0284D806" w14:textId="77777777" w:rsidR="00E21F24" w:rsidRPr="00377754" w:rsidRDefault="00E21F24" w:rsidP="00E21F24">
      <w:pPr>
        <w:pStyle w:val="BodyText3"/>
        <w:rPr>
          <w:rFonts w:ascii="Arial" w:hAnsi="Arial" w:cs="Arial"/>
          <w:szCs w:val="22"/>
        </w:rPr>
      </w:pPr>
      <w:r w:rsidRPr="00377754">
        <w:rPr>
          <w:rFonts w:ascii="Arial" w:hAnsi="Arial" w:cs="Arial"/>
          <w:szCs w:val="22"/>
        </w:rPr>
        <w:t>A Statute to confirm the creation of the General Church Trust and to provide for the administration thereof and of the Cathedral Site and Bishop's House Site in the Diocese of Auckland.</w:t>
      </w:r>
    </w:p>
    <w:p w14:paraId="3D60164D"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b/>
          <w:spacing w:val="-3"/>
          <w:sz w:val="22"/>
          <w:szCs w:val="22"/>
          <w:lang w:val="en-US"/>
        </w:rPr>
        <w:t xml:space="preserve">The Statute may be read in full in the 1928 Proceedings of General Synod / </w:t>
      </w:r>
      <w:proofErr w:type="spellStart"/>
      <w:proofErr w:type="gramStart"/>
      <w:r w:rsidRPr="00377754">
        <w:rPr>
          <w:rFonts w:ascii="Arial" w:hAnsi="Arial" w:cs="Arial"/>
          <w:b/>
          <w:spacing w:val="-3"/>
          <w:sz w:val="22"/>
          <w:szCs w:val="22"/>
          <w:lang w:val="en-US"/>
        </w:rPr>
        <w:t>te</w:t>
      </w:r>
      <w:proofErr w:type="spellEnd"/>
      <w:proofErr w:type="gramEnd"/>
      <w:r w:rsidRPr="00377754">
        <w:rPr>
          <w:rFonts w:ascii="Arial" w:hAnsi="Arial" w:cs="Arial"/>
          <w:b/>
          <w:spacing w:val="-3"/>
          <w:sz w:val="22"/>
          <w:szCs w:val="22"/>
          <w:lang w:val="en-US"/>
        </w:rPr>
        <w:t xml:space="preserve"> </w:t>
      </w:r>
      <w:proofErr w:type="spellStart"/>
      <w:r w:rsidRPr="00377754">
        <w:rPr>
          <w:rFonts w:ascii="Arial" w:hAnsi="Arial" w:cs="Arial"/>
          <w:b/>
          <w:spacing w:val="-3"/>
          <w:sz w:val="22"/>
          <w:szCs w:val="22"/>
          <w:lang w:val="en-US"/>
        </w:rPr>
        <w:t>Hīnota</w:t>
      </w:r>
      <w:proofErr w:type="spellEnd"/>
      <w:r w:rsidRPr="00377754">
        <w:rPr>
          <w:rFonts w:ascii="Arial" w:hAnsi="Arial" w:cs="Arial"/>
          <w:b/>
          <w:spacing w:val="-3"/>
          <w:sz w:val="22"/>
          <w:szCs w:val="22"/>
          <w:lang w:val="en-US"/>
        </w:rPr>
        <w:t xml:space="preserve"> </w:t>
      </w:r>
      <w:proofErr w:type="spellStart"/>
      <w:r w:rsidRPr="00377754">
        <w:rPr>
          <w:rFonts w:ascii="Arial" w:hAnsi="Arial" w:cs="Arial"/>
          <w:b/>
          <w:spacing w:val="-3"/>
          <w:sz w:val="22"/>
          <w:szCs w:val="22"/>
          <w:lang w:val="en-US"/>
        </w:rPr>
        <w:t>Whānui</w:t>
      </w:r>
      <w:proofErr w:type="spellEnd"/>
      <w:r w:rsidRPr="00377754">
        <w:rPr>
          <w:rFonts w:ascii="Arial" w:hAnsi="Arial" w:cs="Arial"/>
          <w:b/>
          <w:spacing w:val="-3"/>
          <w:sz w:val="22"/>
          <w:szCs w:val="22"/>
          <w:lang w:val="en-US"/>
        </w:rPr>
        <w:t xml:space="preserve"> at pages 94 to 114 inclusive.</w:t>
      </w:r>
    </w:p>
    <w:p w14:paraId="2A4463B0"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In the Preamble there are 54 clauses which recite the terms of the trusts included in the Statute and the history of the transfers from The Right Reverend G A Selwyn to various bodies of trustees, and, finally, to the General Church Trust.</w:t>
      </w:r>
    </w:p>
    <w:p w14:paraId="1CB12E02" w14:textId="77777777" w:rsidR="00E21F24" w:rsidRPr="00377754" w:rsidRDefault="00E21F24" w:rsidP="00E21F24">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Statute has seven clauses and five schedules.</w:t>
      </w:r>
    </w:p>
    <w:p w14:paraId="543EB8C0"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Clause 3 excludes the property described in Schedule A from purposes extending to “the whole Ecclesiastical Province of New Zealand”, and confines it to the Cathedral Church of the Diocese of Auckland.</w:t>
      </w:r>
    </w:p>
    <w:p w14:paraId="0542762B"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Clause 4 similarly excludes property described in Schedule 8 and confines it to the House of the Bishop of Auckland.</w:t>
      </w:r>
    </w:p>
    <w:p w14:paraId="61BC0FFC"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 xml:space="preserve">Statute 564, to be found in the 1994 Proceedings of General Synod / </w:t>
      </w:r>
      <w:proofErr w:type="spellStart"/>
      <w:proofErr w:type="gramStart"/>
      <w:r w:rsidRPr="00377754">
        <w:rPr>
          <w:rFonts w:ascii="Arial" w:hAnsi="Arial" w:cs="Arial"/>
          <w:spacing w:val="-3"/>
          <w:sz w:val="22"/>
          <w:szCs w:val="22"/>
          <w:lang w:val="en-US"/>
        </w:rPr>
        <w:t>te</w:t>
      </w:r>
      <w:proofErr w:type="spellEnd"/>
      <w:proofErr w:type="gram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Hīnota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Whānui</w:t>
      </w:r>
      <w:proofErr w:type="spellEnd"/>
      <w:r w:rsidRPr="00377754">
        <w:rPr>
          <w:rFonts w:ascii="Arial" w:hAnsi="Arial" w:cs="Arial"/>
          <w:spacing w:val="-3"/>
          <w:sz w:val="22"/>
          <w:szCs w:val="22"/>
          <w:lang w:val="en-US"/>
        </w:rPr>
        <w:t>, amended Statute 175 of 1928 in relation to Clause 4.</w:t>
      </w:r>
    </w:p>
    <w:p w14:paraId="06BE1183"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 xml:space="preserve">Statute 574, to be found in the 1996 Proceedings of the General Synod / </w:t>
      </w:r>
      <w:proofErr w:type="spellStart"/>
      <w:proofErr w:type="gramStart"/>
      <w:r w:rsidRPr="00377754">
        <w:rPr>
          <w:rFonts w:ascii="Arial" w:hAnsi="Arial" w:cs="Arial"/>
          <w:spacing w:val="-3"/>
          <w:sz w:val="22"/>
          <w:szCs w:val="22"/>
          <w:lang w:val="en-US"/>
        </w:rPr>
        <w:t>te</w:t>
      </w:r>
      <w:proofErr w:type="spellEnd"/>
      <w:proofErr w:type="gram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Hīnota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Whānui</w:t>
      </w:r>
      <w:proofErr w:type="spellEnd"/>
      <w:r w:rsidRPr="00377754">
        <w:rPr>
          <w:rFonts w:ascii="Arial" w:hAnsi="Arial" w:cs="Arial"/>
          <w:spacing w:val="-3"/>
          <w:sz w:val="22"/>
          <w:szCs w:val="22"/>
          <w:lang w:val="en-US"/>
        </w:rPr>
        <w:t>, amended Statute 175 in relation to clauses 5 and 6</w:t>
      </w:r>
    </w:p>
    <w:p w14:paraId="44B295B2"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Clause 2 applies to “the Province” and is as follows:</w:t>
      </w:r>
    </w:p>
    <w:p w14:paraId="1225B5F8"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That the rents issue and profits described in Schedules C, D and E hereto being the lands transferred to the Trustees of the said General Church Trust and the interest accruing from the proceeds of the sale or disposal of any such lands as have been or may thereafter be sold or otherwise disposed of shall be applied for the purposes set out in the said Deeds of Conveyance dated the 9th day of August, 1859 and the 18th day of August, 1859 that is to say</w:t>
      </w:r>
    </w:p>
    <w:p w14:paraId="4BC29893" w14:textId="77777777" w:rsidR="00E21F24" w:rsidRPr="00377754" w:rsidRDefault="00E21F24" w:rsidP="00E21F24">
      <w:pPr>
        <w:tabs>
          <w:tab w:val="left" w:pos="-720"/>
          <w:tab w:val="left" w:pos="0"/>
        </w:tabs>
        <w:suppressAutoHyphens/>
        <w:spacing w:after="120"/>
        <w:ind w:left="720" w:hanging="720"/>
        <w:jc w:val="both"/>
        <w:outlineLvl w:val="0"/>
        <w:rPr>
          <w:rFonts w:ascii="Arial" w:hAnsi="Arial" w:cs="Arial"/>
          <w:spacing w:val="-3"/>
          <w:sz w:val="22"/>
          <w:szCs w:val="22"/>
          <w:lang w:val="en-US"/>
        </w:rPr>
      </w:pPr>
      <w:r w:rsidRPr="00377754">
        <w:rPr>
          <w:rFonts w:ascii="Arial" w:hAnsi="Arial" w:cs="Arial"/>
          <w:spacing w:val="-3"/>
          <w:sz w:val="22"/>
          <w:szCs w:val="22"/>
          <w:lang w:val="en-US"/>
        </w:rPr>
        <w:tab/>
        <w:t>The permanent endowment of Bishoprics of the said Church in New Zealand;</w:t>
      </w:r>
    </w:p>
    <w:p w14:paraId="03642310" w14:textId="77777777" w:rsidR="00E21F24" w:rsidRPr="00377754" w:rsidRDefault="00E21F24" w:rsidP="00E21F24">
      <w:pPr>
        <w:tabs>
          <w:tab w:val="left" w:pos="-720"/>
          <w:tab w:val="left" w:pos="0"/>
        </w:tabs>
        <w:suppressAutoHyphens/>
        <w:spacing w:after="120"/>
        <w:ind w:left="720" w:hanging="720"/>
        <w:jc w:val="both"/>
        <w:rPr>
          <w:rFonts w:ascii="Arial" w:hAnsi="Arial" w:cs="Arial"/>
          <w:spacing w:val="-3"/>
          <w:sz w:val="22"/>
          <w:szCs w:val="22"/>
          <w:lang w:val="en-US"/>
        </w:rPr>
      </w:pPr>
      <w:r w:rsidRPr="00377754">
        <w:rPr>
          <w:rFonts w:ascii="Arial" w:hAnsi="Arial" w:cs="Arial"/>
          <w:spacing w:val="-3"/>
          <w:sz w:val="22"/>
          <w:szCs w:val="22"/>
          <w:lang w:val="en-US"/>
        </w:rPr>
        <w:tab/>
        <w:t>The building maintaining and repairing of Cathedral Churches and Bishops' Houses in the several Dioceses of the said Church in New Zealand and of buildings appertaining to such Cathedral Churches and Bishops' Houses;</w:t>
      </w:r>
    </w:p>
    <w:p w14:paraId="33A1C041" w14:textId="77777777" w:rsidR="00E21F24" w:rsidRPr="00377754" w:rsidRDefault="00E21F24" w:rsidP="00E21F24">
      <w:pPr>
        <w:tabs>
          <w:tab w:val="left" w:pos="-720"/>
          <w:tab w:val="left" w:pos="0"/>
        </w:tabs>
        <w:suppressAutoHyphens/>
        <w:spacing w:after="120"/>
        <w:ind w:left="720" w:hanging="720"/>
        <w:jc w:val="both"/>
        <w:outlineLvl w:val="0"/>
        <w:rPr>
          <w:rFonts w:ascii="Arial" w:hAnsi="Arial" w:cs="Arial"/>
          <w:spacing w:val="-3"/>
          <w:sz w:val="22"/>
          <w:szCs w:val="22"/>
          <w:lang w:val="en-US"/>
        </w:rPr>
      </w:pPr>
      <w:r w:rsidRPr="00377754">
        <w:rPr>
          <w:rFonts w:ascii="Arial" w:hAnsi="Arial" w:cs="Arial"/>
          <w:spacing w:val="-3"/>
          <w:sz w:val="22"/>
          <w:szCs w:val="22"/>
          <w:lang w:val="en-US"/>
        </w:rPr>
        <w:tab/>
        <w:t>The maintaining and repairing of St Stephen's Chapel aforesaid;</w:t>
      </w:r>
    </w:p>
    <w:p w14:paraId="5F59543B" w14:textId="77777777" w:rsidR="00E21F24" w:rsidRPr="00377754" w:rsidRDefault="00E21F24" w:rsidP="00E21F24">
      <w:pPr>
        <w:tabs>
          <w:tab w:val="left" w:pos="-720"/>
          <w:tab w:val="left" w:pos="0"/>
        </w:tabs>
        <w:suppressAutoHyphens/>
        <w:spacing w:after="120"/>
        <w:ind w:left="720" w:hanging="720"/>
        <w:jc w:val="both"/>
        <w:rPr>
          <w:rFonts w:ascii="Arial" w:hAnsi="Arial" w:cs="Arial"/>
          <w:spacing w:val="-3"/>
          <w:sz w:val="22"/>
          <w:szCs w:val="22"/>
          <w:lang w:val="en-US"/>
        </w:rPr>
      </w:pPr>
      <w:r w:rsidRPr="00377754">
        <w:rPr>
          <w:rFonts w:ascii="Arial" w:hAnsi="Arial" w:cs="Arial"/>
          <w:spacing w:val="-3"/>
          <w:sz w:val="22"/>
          <w:szCs w:val="22"/>
          <w:lang w:val="en-US"/>
        </w:rPr>
        <w:tab/>
        <w:t>The maintenance of Candidates for Holy Orders whilst under instruction or examination by the Bishop or the Bishop's Chaplain previously to Ordination;</w:t>
      </w:r>
    </w:p>
    <w:p w14:paraId="01013461" w14:textId="77777777" w:rsidR="00E21F24" w:rsidRPr="00377754" w:rsidRDefault="00E21F24" w:rsidP="00E21F24">
      <w:pPr>
        <w:tabs>
          <w:tab w:val="left" w:pos="-720"/>
          <w:tab w:val="left" w:pos="0"/>
        </w:tabs>
        <w:suppressAutoHyphens/>
        <w:spacing w:after="120"/>
        <w:ind w:left="720" w:hanging="720"/>
        <w:jc w:val="both"/>
        <w:rPr>
          <w:rFonts w:ascii="Arial" w:hAnsi="Arial" w:cs="Arial"/>
          <w:spacing w:val="-3"/>
          <w:sz w:val="22"/>
          <w:szCs w:val="22"/>
          <w:lang w:val="en-US"/>
        </w:rPr>
      </w:pPr>
      <w:r w:rsidRPr="00377754">
        <w:rPr>
          <w:rFonts w:ascii="Arial" w:hAnsi="Arial" w:cs="Arial"/>
          <w:spacing w:val="-3"/>
          <w:sz w:val="22"/>
          <w:szCs w:val="22"/>
          <w:lang w:val="en-US"/>
        </w:rPr>
        <w:tab/>
        <w:t>The defraying of the expenses of meetings of Synods and of registration and of visitations of Bishops and Archdeacons;</w:t>
      </w:r>
    </w:p>
    <w:p w14:paraId="264311A8"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proofErr w:type="gramStart"/>
      <w:r w:rsidRPr="00377754">
        <w:rPr>
          <w:rFonts w:ascii="Arial" w:hAnsi="Arial" w:cs="Arial"/>
          <w:spacing w:val="-3"/>
          <w:sz w:val="22"/>
          <w:szCs w:val="22"/>
          <w:lang w:val="en-US"/>
        </w:rPr>
        <w:t>the</w:t>
      </w:r>
      <w:proofErr w:type="gramEnd"/>
      <w:r w:rsidRPr="00377754">
        <w:rPr>
          <w:rFonts w:ascii="Arial" w:hAnsi="Arial" w:cs="Arial"/>
          <w:spacing w:val="-3"/>
          <w:sz w:val="22"/>
          <w:szCs w:val="22"/>
          <w:lang w:val="en-US"/>
        </w:rPr>
        <w:t xml:space="preserve"> application of such rents issues profits and interest to all or one or more of the purposes aforesaid to be in such proportions with such priorities under such conditions and in such manner as the said General Synod shall from time to time direct on that behalf.</w:t>
      </w:r>
    </w:p>
    <w:p w14:paraId="76091825" w14:textId="77777777" w:rsidR="00E21F24" w:rsidRPr="00377754" w:rsidRDefault="00E21F24" w:rsidP="00E21F24">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Clauses 3, 4, 5 and 6 of the General Church Trust Amendment Statute 1986 modified the foregoing Clause 2 as follows:</w:t>
      </w:r>
    </w:p>
    <w:p w14:paraId="55F03F09" w14:textId="77777777" w:rsidR="00E21F24" w:rsidRPr="00377754" w:rsidRDefault="00E21F24" w:rsidP="00E21F24">
      <w:pPr>
        <w:tabs>
          <w:tab w:val="left" w:pos="-720"/>
          <w:tab w:val="left" w:pos="0"/>
        </w:tabs>
        <w:suppressAutoHyphens/>
        <w:spacing w:after="120"/>
        <w:ind w:left="720" w:hanging="720"/>
        <w:jc w:val="both"/>
        <w:rPr>
          <w:rFonts w:ascii="Arial" w:hAnsi="Arial" w:cs="Arial"/>
          <w:spacing w:val="-3"/>
          <w:sz w:val="22"/>
          <w:szCs w:val="22"/>
          <w:lang w:val="en-US"/>
        </w:rPr>
      </w:pPr>
      <w:r w:rsidRPr="00377754">
        <w:rPr>
          <w:rFonts w:ascii="Arial" w:hAnsi="Arial" w:cs="Arial"/>
          <w:spacing w:val="-3"/>
          <w:sz w:val="22"/>
          <w:szCs w:val="22"/>
          <w:lang w:val="en-US"/>
        </w:rPr>
        <w:t>3.</w:t>
      </w:r>
      <w:r w:rsidRPr="00377754">
        <w:rPr>
          <w:rFonts w:ascii="Arial" w:hAnsi="Arial" w:cs="Arial"/>
          <w:spacing w:val="-3"/>
          <w:sz w:val="22"/>
          <w:szCs w:val="22"/>
          <w:lang w:val="en-US"/>
        </w:rPr>
        <w:tab/>
        <w:t xml:space="preserve">Te </w:t>
      </w:r>
      <w:proofErr w:type="spellStart"/>
      <w:r w:rsidRPr="00377754">
        <w:rPr>
          <w:rFonts w:ascii="Arial" w:hAnsi="Arial" w:cs="Arial"/>
          <w:spacing w:val="-3"/>
          <w:sz w:val="22"/>
          <w:szCs w:val="22"/>
          <w:lang w:val="en-US"/>
        </w:rPr>
        <w:t>Pīhopatanga</w:t>
      </w:r>
      <w:proofErr w:type="spellEnd"/>
      <w:r w:rsidRPr="00377754">
        <w:rPr>
          <w:rFonts w:ascii="Arial" w:hAnsi="Arial" w:cs="Arial"/>
          <w:spacing w:val="-3"/>
          <w:sz w:val="22"/>
          <w:szCs w:val="22"/>
          <w:lang w:val="en-US"/>
        </w:rPr>
        <w:t xml:space="preserve"> o </w:t>
      </w:r>
      <w:proofErr w:type="spellStart"/>
      <w:r w:rsidRPr="00377754">
        <w:rPr>
          <w:rFonts w:ascii="Arial" w:hAnsi="Arial" w:cs="Arial"/>
          <w:spacing w:val="-3"/>
          <w:sz w:val="22"/>
          <w:szCs w:val="22"/>
          <w:lang w:val="en-US"/>
        </w:rPr>
        <w:t>Aotearoa</w:t>
      </w:r>
      <w:proofErr w:type="spellEnd"/>
      <w:r w:rsidRPr="00377754">
        <w:rPr>
          <w:rFonts w:ascii="Arial" w:hAnsi="Arial" w:cs="Arial"/>
          <w:spacing w:val="-3"/>
          <w:sz w:val="22"/>
          <w:szCs w:val="22"/>
          <w:lang w:val="en-US"/>
        </w:rPr>
        <w:t xml:space="preserve"> is acknowledged to be one of the "Bishoprics of the said Church in New Zealand" as those words are used in Clause 2 of the Principal Statute.</w:t>
      </w:r>
    </w:p>
    <w:p w14:paraId="7CAF1A9A" w14:textId="77777777" w:rsidR="00E21F24" w:rsidRDefault="00E21F24" w:rsidP="00E21F24">
      <w:pPr>
        <w:tabs>
          <w:tab w:val="left" w:pos="-720"/>
          <w:tab w:val="left" w:pos="0"/>
        </w:tabs>
        <w:suppressAutoHyphens/>
        <w:spacing w:after="120"/>
        <w:ind w:left="720" w:hanging="720"/>
        <w:jc w:val="both"/>
        <w:rPr>
          <w:rFonts w:ascii="Arial" w:hAnsi="Arial" w:cs="Arial"/>
          <w:spacing w:val="-3"/>
          <w:sz w:val="22"/>
          <w:szCs w:val="22"/>
          <w:lang w:val="en-US"/>
        </w:rPr>
        <w:sectPr w:rsidR="00E21F24">
          <w:headerReference w:type="default" r:id="rId10"/>
          <w:footerReference w:type="default" r:id="rId11"/>
          <w:pgSz w:w="11906" w:h="16838"/>
          <w:pgMar w:top="1440" w:right="1800" w:bottom="1440" w:left="1800" w:header="708" w:footer="708" w:gutter="0"/>
          <w:cols w:space="708"/>
          <w:docGrid w:linePitch="360"/>
        </w:sectPr>
      </w:pPr>
    </w:p>
    <w:p w14:paraId="649C7A15" w14:textId="77777777" w:rsidR="00E21F24" w:rsidRPr="00377754" w:rsidRDefault="00E21F24" w:rsidP="00E21F24">
      <w:pPr>
        <w:tabs>
          <w:tab w:val="left" w:pos="-720"/>
          <w:tab w:val="left" w:pos="0"/>
        </w:tabs>
        <w:suppressAutoHyphens/>
        <w:spacing w:after="120"/>
        <w:ind w:left="720" w:hanging="720"/>
        <w:jc w:val="both"/>
        <w:rPr>
          <w:rFonts w:ascii="Arial" w:hAnsi="Arial" w:cs="Arial"/>
          <w:spacing w:val="-3"/>
          <w:sz w:val="22"/>
          <w:szCs w:val="22"/>
          <w:lang w:val="en-US"/>
        </w:rPr>
      </w:pPr>
      <w:r w:rsidRPr="00377754">
        <w:rPr>
          <w:rFonts w:ascii="Arial" w:hAnsi="Arial" w:cs="Arial"/>
          <w:spacing w:val="-3"/>
          <w:sz w:val="22"/>
          <w:szCs w:val="22"/>
          <w:lang w:val="en-US"/>
        </w:rPr>
        <w:lastRenderedPageBreak/>
        <w:t>4.</w:t>
      </w:r>
      <w:r w:rsidRPr="00377754">
        <w:rPr>
          <w:rFonts w:ascii="Arial" w:hAnsi="Arial" w:cs="Arial"/>
          <w:spacing w:val="-3"/>
          <w:sz w:val="22"/>
          <w:szCs w:val="22"/>
          <w:lang w:val="en-US"/>
        </w:rPr>
        <w:tab/>
        <w:t>So long as the Diocese of Polynesia remains an integral part of the Ecclesiastical Province of New Zealand, the Cathedral in that Diocese and the House of the Bishop in that Diocese are acknowledged to be within the words "Cathedral Churches and Bishops' Houses in the several Dioceses of the said Church in New Zealand" as those words are used in Clause 2 of the Principal Statute.</w:t>
      </w:r>
    </w:p>
    <w:p w14:paraId="62046672" w14:textId="77777777" w:rsidR="00E21F24" w:rsidRPr="00377754" w:rsidRDefault="00E21F24" w:rsidP="00E21F24">
      <w:pPr>
        <w:tabs>
          <w:tab w:val="left" w:pos="-720"/>
          <w:tab w:val="left" w:pos="0"/>
        </w:tabs>
        <w:suppressAutoHyphens/>
        <w:spacing w:after="120"/>
        <w:ind w:left="720" w:hanging="720"/>
        <w:jc w:val="both"/>
        <w:rPr>
          <w:rFonts w:ascii="Arial" w:hAnsi="Arial" w:cs="Arial"/>
          <w:spacing w:val="-3"/>
          <w:sz w:val="22"/>
          <w:szCs w:val="22"/>
          <w:lang w:val="en-US"/>
        </w:rPr>
      </w:pPr>
      <w:r w:rsidRPr="00377754">
        <w:rPr>
          <w:rFonts w:ascii="Arial" w:hAnsi="Arial" w:cs="Arial"/>
          <w:spacing w:val="-3"/>
          <w:sz w:val="22"/>
          <w:szCs w:val="22"/>
          <w:lang w:val="en-US"/>
        </w:rPr>
        <w:t>5.</w:t>
      </w:r>
      <w:r w:rsidRPr="00377754">
        <w:rPr>
          <w:rFonts w:ascii="Arial" w:hAnsi="Arial" w:cs="Arial"/>
          <w:spacing w:val="-3"/>
          <w:sz w:val="22"/>
          <w:szCs w:val="22"/>
          <w:lang w:val="en-US"/>
        </w:rPr>
        <w:tab/>
        <w:t xml:space="preserve">The House of Te </w:t>
      </w:r>
      <w:proofErr w:type="spellStart"/>
      <w:r w:rsidRPr="00377754">
        <w:rPr>
          <w:rFonts w:ascii="Arial" w:hAnsi="Arial" w:cs="Arial"/>
          <w:spacing w:val="-3"/>
          <w:sz w:val="22"/>
          <w:szCs w:val="22"/>
          <w:lang w:val="en-US"/>
        </w:rPr>
        <w:t>Pīhopa</w:t>
      </w:r>
      <w:proofErr w:type="spellEnd"/>
      <w:r w:rsidRPr="00377754">
        <w:rPr>
          <w:rFonts w:ascii="Arial" w:hAnsi="Arial" w:cs="Arial"/>
          <w:spacing w:val="-3"/>
          <w:sz w:val="22"/>
          <w:szCs w:val="22"/>
          <w:lang w:val="en-US"/>
        </w:rPr>
        <w:t xml:space="preserve"> o </w:t>
      </w:r>
      <w:proofErr w:type="spellStart"/>
      <w:r w:rsidRPr="00377754">
        <w:rPr>
          <w:rFonts w:ascii="Arial" w:hAnsi="Arial" w:cs="Arial"/>
          <w:spacing w:val="-3"/>
          <w:sz w:val="22"/>
          <w:szCs w:val="22"/>
          <w:lang w:val="en-US"/>
        </w:rPr>
        <w:t>Aotearoa</w:t>
      </w:r>
      <w:proofErr w:type="spellEnd"/>
      <w:r w:rsidRPr="00377754">
        <w:rPr>
          <w:rFonts w:ascii="Arial" w:hAnsi="Arial" w:cs="Arial"/>
          <w:spacing w:val="-3"/>
          <w:sz w:val="22"/>
          <w:szCs w:val="22"/>
          <w:lang w:val="en-US"/>
        </w:rPr>
        <w:t xml:space="preserve"> is acknowledged to be one of the "Bishops' Houses in the several Dioceses of the said Church in New Zealand" as those words are used in Clause 2 of the Principal Statute.</w:t>
      </w:r>
    </w:p>
    <w:p w14:paraId="5DDB160E" w14:textId="77777777" w:rsidR="00E21F24" w:rsidRPr="00377754" w:rsidRDefault="00E21F24" w:rsidP="00E21F24">
      <w:pPr>
        <w:tabs>
          <w:tab w:val="left" w:pos="-720"/>
          <w:tab w:val="left" w:pos="0"/>
          <w:tab w:val="left" w:pos="720"/>
        </w:tabs>
        <w:suppressAutoHyphens/>
        <w:spacing w:after="120"/>
        <w:ind w:left="720" w:hanging="720"/>
        <w:jc w:val="both"/>
        <w:rPr>
          <w:rFonts w:ascii="Arial" w:hAnsi="Arial" w:cs="Arial"/>
          <w:bCs/>
          <w:spacing w:val="-3"/>
          <w:sz w:val="22"/>
          <w:szCs w:val="22"/>
          <w:lang w:val="en-US"/>
        </w:rPr>
      </w:pPr>
      <w:r w:rsidRPr="00377754">
        <w:rPr>
          <w:rFonts w:ascii="Arial" w:hAnsi="Arial" w:cs="Arial"/>
          <w:bCs/>
          <w:spacing w:val="-3"/>
          <w:sz w:val="22"/>
          <w:szCs w:val="22"/>
          <w:lang w:val="en-US"/>
        </w:rPr>
        <w:t>6.</w:t>
      </w:r>
      <w:r w:rsidRPr="00377754">
        <w:rPr>
          <w:rFonts w:ascii="Arial" w:hAnsi="Arial" w:cs="Arial"/>
          <w:bCs/>
          <w:spacing w:val="-3"/>
          <w:sz w:val="22"/>
          <w:szCs w:val="22"/>
          <w:lang w:val="en-US"/>
        </w:rPr>
        <w:tab/>
        <w:t xml:space="preserve">Te </w:t>
      </w:r>
      <w:proofErr w:type="spellStart"/>
      <w:r w:rsidRPr="00377754">
        <w:rPr>
          <w:rFonts w:ascii="Arial" w:hAnsi="Arial" w:cs="Arial"/>
          <w:bCs/>
          <w:spacing w:val="-3"/>
          <w:sz w:val="22"/>
          <w:szCs w:val="22"/>
          <w:lang w:val="en-US"/>
        </w:rPr>
        <w:t>Runanga</w:t>
      </w:r>
      <w:proofErr w:type="spellEnd"/>
      <w:r w:rsidRPr="00377754">
        <w:rPr>
          <w:rFonts w:ascii="Arial" w:hAnsi="Arial" w:cs="Arial"/>
          <w:bCs/>
          <w:spacing w:val="-3"/>
          <w:sz w:val="22"/>
          <w:szCs w:val="22"/>
          <w:lang w:val="en-US"/>
        </w:rPr>
        <w:t xml:space="preserve"> o Te </w:t>
      </w:r>
      <w:proofErr w:type="spellStart"/>
      <w:r w:rsidRPr="00377754">
        <w:rPr>
          <w:rFonts w:ascii="Arial" w:hAnsi="Arial" w:cs="Arial"/>
          <w:bCs/>
          <w:spacing w:val="-3"/>
          <w:sz w:val="22"/>
          <w:szCs w:val="22"/>
          <w:lang w:val="en-US"/>
        </w:rPr>
        <w:t>Pīhopatanga</w:t>
      </w:r>
      <w:proofErr w:type="spellEnd"/>
      <w:r w:rsidRPr="00377754">
        <w:rPr>
          <w:rFonts w:ascii="Arial" w:hAnsi="Arial" w:cs="Arial"/>
          <w:bCs/>
          <w:spacing w:val="-3"/>
          <w:sz w:val="22"/>
          <w:szCs w:val="22"/>
          <w:lang w:val="en-US"/>
        </w:rPr>
        <w:t xml:space="preserve"> o </w:t>
      </w:r>
      <w:proofErr w:type="spellStart"/>
      <w:r w:rsidRPr="00377754">
        <w:rPr>
          <w:rFonts w:ascii="Arial" w:hAnsi="Arial" w:cs="Arial"/>
          <w:bCs/>
          <w:spacing w:val="-3"/>
          <w:sz w:val="22"/>
          <w:szCs w:val="22"/>
          <w:lang w:val="en-US"/>
        </w:rPr>
        <w:t>Aotearoa</w:t>
      </w:r>
      <w:proofErr w:type="spellEnd"/>
      <w:r w:rsidRPr="00377754">
        <w:rPr>
          <w:rFonts w:ascii="Arial" w:hAnsi="Arial" w:cs="Arial"/>
          <w:bCs/>
          <w:spacing w:val="-3"/>
          <w:sz w:val="22"/>
          <w:szCs w:val="22"/>
          <w:lang w:val="en-US"/>
        </w:rPr>
        <w:t xml:space="preserve"> is acknowledged to be the equivalent of a Synod so that the expenses of its meetings may be defrayed in the same way </w:t>
      </w:r>
      <w:r>
        <w:rPr>
          <w:rFonts w:ascii="Arial" w:hAnsi="Arial" w:cs="Arial"/>
          <w:bCs/>
          <w:spacing w:val="-3"/>
          <w:sz w:val="22"/>
          <w:szCs w:val="22"/>
          <w:lang w:val="en-US"/>
        </w:rPr>
        <w:t>as t</w:t>
      </w:r>
      <w:r w:rsidRPr="00377754">
        <w:rPr>
          <w:rFonts w:ascii="Arial" w:hAnsi="Arial" w:cs="Arial"/>
          <w:bCs/>
          <w:spacing w:val="-3"/>
          <w:sz w:val="22"/>
          <w:szCs w:val="22"/>
          <w:lang w:val="en-US"/>
        </w:rPr>
        <w:t>he expenses of the meetings of any other Synod.</w:t>
      </w:r>
    </w:p>
    <w:p w14:paraId="38E9ED7B" w14:textId="77777777" w:rsidR="007700BE" w:rsidRDefault="007700BE"/>
    <w:sectPr w:rsidR="007700B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AA8D9" w14:textId="77777777" w:rsidR="00E21F24" w:rsidRDefault="00E21F24" w:rsidP="00E21F24">
      <w:r>
        <w:separator/>
      </w:r>
    </w:p>
  </w:endnote>
  <w:endnote w:type="continuationSeparator" w:id="0">
    <w:p w14:paraId="7E32755B" w14:textId="77777777" w:rsidR="00E21F24" w:rsidRDefault="00E21F24" w:rsidP="00E2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äori">
    <w:altName w:val="Arial"/>
    <w:charset w:val="00"/>
    <w:family w:val="swiss"/>
    <w:pitch w:val="variable"/>
    <w:sig w:usb0="0000000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6806B" w14:textId="77777777" w:rsidR="006F7EC5" w:rsidRDefault="00E21F24" w:rsidP="00F53DE2">
    <w:pPr>
      <w:pStyle w:val="Footer"/>
      <w:numPr>
        <w:ilvl w:val="0"/>
        <w:numId w:val="1"/>
      </w:numPr>
      <w:tabs>
        <w:tab w:val="clear" w:pos="4153"/>
      </w:tabs>
      <w:ind w:left="4253" w:hanging="128"/>
      <w:rPr>
        <w:rFonts w:ascii="Arial Mäori" w:hAnsi="Arial Mäori" w:cs="Arial Mäori"/>
        <w:sz w:val="20"/>
      </w:rPr>
    </w:pPr>
    <w:r>
      <w:rPr>
        <w:rStyle w:val="PageNumber"/>
        <w:sz w:val="20"/>
      </w:rPr>
      <w:t>GS. 24 -</w:t>
    </w:r>
    <w:r>
      <w:rPr>
        <w:rStyle w:val="PageNumber"/>
        <w:rFonts w:ascii="Arial Mäori" w:hAnsi="Arial Mäori" w:cs="Arial Mäori"/>
        <w:sz w:val="20"/>
      </w:rPr>
      <w:tab/>
    </w:r>
    <w:r>
      <w:rPr>
        <w:rStyle w:val="PageNumber"/>
        <w:sz w:val="20"/>
      </w:rPr>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7FFB0" w14:textId="77777777" w:rsidR="00E21F24" w:rsidRDefault="00E21F24" w:rsidP="00F53DE2">
    <w:pPr>
      <w:pStyle w:val="Footer"/>
      <w:numPr>
        <w:ilvl w:val="0"/>
        <w:numId w:val="1"/>
      </w:numPr>
      <w:tabs>
        <w:tab w:val="clear" w:pos="4153"/>
      </w:tabs>
      <w:ind w:left="4253" w:hanging="128"/>
      <w:rPr>
        <w:rFonts w:ascii="Arial Mäori" w:hAnsi="Arial Mäori" w:cs="Arial Mäori"/>
        <w:sz w:val="20"/>
      </w:rPr>
    </w:pPr>
    <w:r>
      <w:rPr>
        <w:rStyle w:val="PageNumber"/>
        <w:sz w:val="20"/>
      </w:rPr>
      <w:t>GS. 25 -</w:t>
    </w:r>
    <w:r>
      <w:rPr>
        <w:rStyle w:val="PageNumber"/>
        <w:rFonts w:ascii="Arial Mäori" w:hAnsi="Arial Mäori" w:cs="Arial Mäori"/>
        <w:sz w:val="20"/>
      </w:rPr>
      <w:tab/>
    </w:r>
    <w:r>
      <w:rPr>
        <w:rStyle w:val="PageNumber"/>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5FBD8" w14:textId="77777777" w:rsidR="00E21F24" w:rsidRDefault="00E21F24" w:rsidP="00E21F24">
      <w:r>
        <w:separator/>
      </w:r>
    </w:p>
  </w:footnote>
  <w:footnote w:type="continuationSeparator" w:id="0">
    <w:p w14:paraId="7322C8C3" w14:textId="77777777" w:rsidR="00E21F24" w:rsidRDefault="00E21F24" w:rsidP="00E21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74E7E" w14:textId="536C087C" w:rsidR="006F7EC5" w:rsidRPr="00E21F24" w:rsidRDefault="00ED601C">
    <w:pPr>
      <w:pStyle w:val="Header"/>
      <w:jc w:val="right"/>
      <w:rPr>
        <w:rFonts w:ascii="Arial Mäori" w:hAnsi="Arial Mäori" w:cs="Arial Mäori"/>
        <w:b/>
        <w:sz w:val="22"/>
      </w:rPr>
    </w:pPr>
    <w:r>
      <w:rPr>
        <w:rFonts w:ascii="Arial Mäori" w:hAnsi="Arial Mäori" w:cs="Arial Mäori"/>
        <w:b/>
        <w:sz w:val="22"/>
      </w:rPr>
      <w:t>ADDITIONAL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B97FB1"/>
    <w:multiLevelType w:val="hybridMultilevel"/>
    <w:tmpl w:val="0A38690C"/>
    <w:lvl w:ilvl="0" w:tplc="CAB4D730">
      <w:start w:val="6"/>
      <w:numFmt w:val="bullet"/>
      <w:lvlText w:val="-"/>
      <w:lvlJc w:val="left"/>
      <w:pPr>
        <w:ind w:left="4485" w:hanging="360"/>
      </w:pPr>
      <w:rPr>
        <w:rFonts w:ascii="Arial Mäori" w:eastAsia="Times New Roman" w:hAnsi="Arial Mäori" w:cs="Arial Mäori"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24"/>
    <w:rsid w:val="00511F26"/>
    <w:rsid w:val="007700BE"/>
    <w:rsid w:val="00E21F24"/>
    <w:rsid w:val="00ED601C"/>
    <w:rsid w:val="00F53D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F395"/>
  <w15:chartTrackingRefBased/>
  <w15:docId w15:val="{6CD767BC-0CF8-4F7E-8740-4E304424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24"/>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21F24"/>
    <w:pPr>
      <w:tabs>
        <w:tab w:val="center" w:pos="4153"/>
        <w:tab w:val="right" w:pos="8306"/>
      </w:tabs>
    </w:pPr>
  </w:style>
  <w:style w:type="character" w:customStyle="1" w:styleId="HeaderChar">
    <w:name w:val="Header Char"/>
    <w:basedOn w:val="DefaultParagraphFont"/>
    <w:link w:val="Header"/>
    <w:semiHidden/>
    <w:rsid w:val="00E21F24"/>
    <w:rPr>
      <w:rFonts w:ascii="Times New Roman" w:eastAsia="Times New Roman" w:hAnsi="Times New Roman" w:cs="Times New Roman"/>
      <w:sz w:val="24"/>
      <w:szCs w:val="24"/>
      <w:lang w:val="en-AU"/>
    </w:rPr>
  </w:style>
  <w:style w:type="paragraph" w:styleId="Footer">
    <w:name w:val="footer"/>
    <w:basedOn w:val="Normal"/>
    <w:link w:val="FooterChar"/>
    <w:semiHidden/>
    <w:rsid w:val="00E21F24"/>
    <w:pPr>
      <w:tabs>
        <w:tab w:val="center" w:pos="4153"/>
        <w:tab w:val="right" w:pos="8306"/>
      </w:tabs>
    </w:pPr>
  </w:style>
  <w:style w:type="character" w:customStyle="1" w:styleId="FooterChar">
    <w:name w:val="Footer Char"/>
    <w:basedOn w:val="DefaultParagraphFont"/>
    <w:link w:val="Footer"/>
    <w:semiHidden/>
    <w:rsid w:val="00E21F24"/>
    <w:rPr>
      <w:rFonts w:ascii="Times New Roman" w:eastAsia="Times New Roman" w:hAnsi="Times New Roman" w:cs="Times New Roman"/>
      <w:sz w:val="24"/>
      <w:szCs w:val="24"/>
      <w:lang w:val="en-AU"/>
    </w:rPr>
  </w:style>
  <w:style w:type="character" w:styleId="PageNumber">
    <w:name w:val="page number"/>
    <w:basedOn w:val="DefaultParagraphFont"/>
    <w:semiHidden/>
    <w:rsid w:val="00E21F24"/>
  </w:style>
  <w:style w:type="paragraph" w:styleId="BodyText3">
    <w:name w:val="Body Text 3"/>
    <w:basedOn w:val="Normal"/>
    <w:link w:val="BodyText3Char"/>
    <w:semiHidden/>
    <w:rsid w:val="00E21F24"/>
    <w:pPr>
      <w:tabs>
        <w:tab w:val="left" w:pos="-720"/>
      </w:tabs>
      <w:suppressAutoHyphens/>
      <w:spacing w:after="120"/>
      <w:jc w:val="both"/>
    </w:pPr>
    <w:rPr>
      <w:rFonts w:ascii="Arial Mäori" w:hAnsi="Arial Mäori"/>
      <w:i/>
      <w:spacing w:val="-3"/>
      <w:sz w:val="22"/>
      <w:lang w:val="en-US"/>
    </w:rPr>
  </w:style>
  <w:style w:type="character" w:customStyle="1" w:styleId="BodyText3Char">
    <w:name w:val="Body Text 3 Char"/>
    <w:basedOn w:val="DefaultParagraphFont"/>
    <w:link w:val="BodyText3"/>
    <w:semiHidden/>
    <w:rsid w:val="00E21F24"/>
    <w:rPr>
      <w:rFonts w:ascii="Arial Mäori" w:eastAsia="Times New Roman" w:hAnsi="Arial Mäori" w:cs="Times New Roman"/>
      <w:i/>
      <w:spacing w:val="-3"/>
      <w:szCs w:val="24"/>
      <w:lang w:val="en-US"/>
    </w:rPr>
  </w:style>
  <w:style w:type="paragraph" w:styleId="BalloonText">
    <w:name w:val="Balloon Text"/>
    <w:basedOn w:val="Normal"/>
    <w:link w:val="BalloonTextChar"/>
    <w:uiPriority w:val="99"/>
    <w:semiHidden/>
    <w:unhideWhenUsed/>
    <w:rsid w:val="00ED6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1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A679A-7C1A-44F8-8508-72BCACBC9205}">
  <ds:schemaRefs>
    <ds:schemaRef ds:uri="http://schemas.microsoft.com/sharepoint/v3/contenttype/forms"/>
  </ds:schemaRefs>
</ds:datastoreItem>
</file>

<file path=customXml/itemProps2.xml><?xml version="1.0" encoding="utf-8"?>
<ds:datastoreItem xmlns:ds="http://schemas.openxmlformats.org/officeDocument/2006/customXml" ds:itemID="{073D22E2-3DA9-418E-9440-E1950FF6F33B}">
  <ds:schemaRefs>
    <ds:schemaRef ds:uri="http://purl.org/dc/term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212A4E2-7D3C-4AC9-869E-A74777B3C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cp:lastPrinted>2014-03-16T22:41:00Z</cp:lastPrinted>
  <dcterms:created xsi:type="dcterms:W3CDTF">2014-08-29T00:39:00Z</dcterms:created>
  <dcterms:modified xsi:type="dcterms:W3CDTF">2014-08-29T00:39:00Z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